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AF3" w:rsidRPr="002B10AD" w:rsidRDefault="002B10AD" w:rsidP="002B10AD">
      <w:pPr>
        <w:jc w:val="center"/>
        <w:rPr>
          <w:sz w:val="28"/>
          <w:szCs w:val="28"/>
          <w:u w:val="none"/>
        </w:rPr>
      </w:pPr>
      <w:r w:rsidRPr="002B10AD">
        <w:rPr>
          <w:rStyle w:val="FontStyle14"/>
          <w:sz w:val="28"/>
          <w:szCs w:val="28"/>
          <w:u w:val="none"/>
        </w:rPr>
        <w:t>П</w:t>
      </w:r>
      <w:r w:rsidRPr="002B10AD">
        <w:rPr>
          <w:rStyle w:val="FontStyle14"/>
          <w:sz w:val="28"/>
          <w:szCs w:val="28"/>
          <w:u w:val="none"/>
        </w:rPr>
        <w:t xml:space="preserve">ерерасчет стоимости патента в случае </w:t>
      </w:r>
      <w:proofErr w:type="gramStart"/>
      <w:r w:rsidRPr="002B10AD">
        <w:rPr>
          <w:rStyle w:val="FontStyle14"/>
          <w:sz w:val="28"/>
          <w:szCs w:val="28"/>
          <w:u w:val="none"/>
        </w:rPr>
        <w:t>изменения адреса места осуществления предпринимательской деятельности</w:t>
      </w:r>
      <w:proofErr w:type="gramEnd"/>
      <w:r w:rsidRPr="002B10AD">
        <w:rPr>
          <w:rStyle w:val="FontStyle14"/>
          <w:sz w:val="28"/>
          <w:szCs w:val="28"/>
          <w:u w:val="none"/>
        </w:rPr>
        <w:t xml:space="preserve"> индивидуальным предпринимателем, применяющим патентную систему налогообложения</w:t>
      </w:r>
    </w:p>
    <w:p w:rsidR="002B10AD" w:rsidRDefault="002B10AD" w:rsidP="002B10AD">
      <w:pPr>
        <w:pStyle w:val="Style6"/>
        <w:widowControl/>
        <w:ind w:firstLine="701"/>
        <w:rPr>
          <w:rStyle w:val="FontStyle14"/>
        </w:rPr>
      </w:pPr>
      <w:proofErr w:type="gramStart"/>
      <w:r>
        <w:rPr>
          <w:rStyle w:val="FontStyle14"/>
        </w:rPr>
        <w:t>В соответствии с пунктом 1 статьи 346</w:t>
      </w:r>
      <w:r>
        <w:rPr>
          <w:rStyle w:val="FontStyle14"/>
          <w:vertAlign w:val="superscript"/>
        </w:rPr>
        <w:t>48</w:t>
      </w:r>
      <w:r>
        <w:rPr>
          <w:rStyle w:val="FontStyle14"/>
        </w:rPr>
        <w:t xml:space="preserve"> Налогового кодекса Российской Федерации (далее - Кодекс) налоговая база по налогу, уплачиваемому в связи с применением ПСН, определяется как денежное выражение потенциально возможного к получению индивидуальным предпринимателем годового дохода (далее - ПВГД) по виду предпринимательской деятельности, в отношении которого применяется ПСН в соответствии с главой 26</w:t>
      </w:r>
      <w:r>
        <w:rPr>
          <w:rStyle w:val="FontStyle14"/>
          <w:vertAlign w:val="superscript"/>
        </w:rPr>
        <w:t>5</w:t>
      </w:r>
      <w:r>
        <w:rPr>
          <w:rStyle w:val="FontStyle14"/>
        </w:rPr>
        <w:t xml:space="preserve"> Кодекса, устанавливаемого на календарный год законом субъекта Российской Федерации.</w:t>
      </w:r>
      <w:proofErr w:type="gramEnd"/>
    </w:p>
    <w:p w:rsidR="002B10AD" w:rsidRDefault="002B10AD" w:rsidP="002B10AD">
      <w:pPr>
        <w:pStyle w:val="Style6"/>
        <w:widowControl/>
        <w:ind w:firstLine="720"/>
        <w:rPr>
          <w:rStyle w:val="FontStyle14"/>
        </w:rPr>
      </w:pPr>
      <w:r>
        <w:rPr>
          <w:rStyle w:val="FontStyle14"/>
        </w:rPr>
        <w:t>Согласно подпунктам 1</w:t>
      </w:r>
      <w:r>
        <w:rPr>
          <w:rStyle w:val="FontStyle14"/>
          <w:vertAlign w:val="superscript"/>
        </w:rPr>
        <w:t>1</w:t>
      </w:r>
      <w:r>
        <w:rPr>
          <w:rStyle w:val="FontStyle14"/>
        </w:rPr>
        <w:t xml:space="preserve"> и 3 пункта 8 статьи 346</w:t>
      </w:r>
      <w:r>
        <w:rPr>
          <w:rStyle w:val="FontStyle14"/>
          <w:vertAlign w:val="superscript"/>
        </w:rPr>
        <w:t>43</w:t>
      </w:r>
      <w:r>
        <w:rPr>
          <w:rStyle w:val="FontStyle14"/>
        </w:rPr>
        <w:t xml:space="preserve"> Кодекса в целях установления размеров ПВГД субъекты Российской Федерации вправе:</w:t>
      </w:r>
    </w:p>
    <w:p w:rsidR="002B10AD" w:rsidRDefault="002B10AD" w:rsidP="002B10AD">
      <w:pPr>
        <w:pStyle w:val="Style6"/>
        <w:widowControl/>
        <w:ind w:firstLine="782"/>
        <w:rPr>
          <w:rStyle w:val="FontStyle14"/>
        </w:rPr>
      </w:pPr>
      <w:r>
        <w:rPr>
          <w:rStyle w:val="FontStyle14"/>
        </w:rPr>
        <w:t>дифференцировать территорию субъекта Российской Федерации по территориям действия патентов по муниципальным образованиям (группам муниципальных образований), за исключением патентов на осуществление видов предпринимательской деятельности, указанных в подпунктах 10, 11, 32, 33 и подпункте 46 (в части, касающейся развозной и разносной розничной торговли) пункта 2 данной статьи Кодекса;</w:t>
      </w:r>
    </w:p>
    <w:p w:rsidR="002B10AD" w:rsidRDefault="002B10AD" w:rsidP="002B10AD">
      <w:pPr>
        <w:pStyle w:val="Style7"/>
        <w:widowControl/>
        <w:spacing w:before="62" w:line="322" w:lineRule="exact"/>
        <w:rPr>
          <w:rStyle w:val="FontStyle14"/>
        </w:rPr>
      </w:pPr>
      <w:r>
        <w:rPr>
          <w:rStyle w:val="FontStyle14"/>
        </w:rPr>
        <w:t>устанавливать размер ПВГД на единицу средней численности наемных работников; на единицу автотранспортных средств; на 1 тонну грузоподъемности транспортных средств, на одно пассажирское место - по видам предпринимательской деятельности, указанным в подпунктах 10, 11, 32 и 33 пункта 2 данной статьи Кодекса; на 1 квадратный метр площади сдаваемого в аренду (наем) собственного или арендованного жилого помещения и (или)</w:t>
      </w:r>
      <w:r>
        <w:rPr>
          <w:rStyle w:val="FontStyle14"/>
        </w:rPr>
        <w:t xml:space="preserve"> </w:t>
      </w:r>
      <w:r>
        <w:rPr>
          <w:rStyle w:val="FontStyle14"/>
        </w:rPr>
        <w:t>нежилого помещения - по виду предпринимательской деятельности, указанному в подпункте 19 пункта 2 данной статьи Кодекса; на один объект стационарной (нестационарной) торговой сети, объект организации общественного питания и (или) на 1 квадратный метр площади объекта стационарной (нестационарной) торговой сети, объекта организации общественного питания - по видам предпринимательской деятельности, указанным в подпунктах 45 - 48 пункта 2 данной статьи Кодекса; на 1 квадратный метр площади стоянки для транспортных средств - по виду предпринимательской деятельности, указанному в подпункте 65 пункта 2 данной статьи Кодекса.</w:t>
      </w:r>
    </w:p>
    <w:p w:rsidR="002B10AD" w:rsidRDefault="002B10AD" w:rsidP="002B10AD">
      <w:pPr>
        <w:pStyle w:val="Style6"/>
        <w:widowControl/>
        <w:ind w:firstLine="710"/>
        <w:rPr>
          <w:rStyle w:val="FontStyle14"/>
        </w:rPr>
      </w:pPr>
      <w:r>
        <w:rPr>
          <w:rStyle w:val="FontStyle14"/>
        </w:rPr>
        <w:t>В соответствии с пунктом 1 статьи 346</w:t>
      </w:r>
      <w:r>
        <w:rPr>
          <w:rStyle w:val="FontStyle14"/>
          <w:vertAlign w:val="superscript"/>
        </w:rPr>
        <w:t>45</w:t>
      </w:r>
      <w:r>
        <w:rPr>
          <w:rStyle w:val="FontStyle14"/>
        </w:rPr>
        <w:t xml:space="preserve"> Кодекса документом, удостоверяющим право на применение ПСН, является патент на осуществление одного из видов предпринимательской деятельности, в отношении которого законом субъекта Российской Федерации </w:t>
      </w:r>
      <w:proofErr w:type="gramStart"/>
      <w:r>
        <w:rPr>
          <w:rStyle w:val="FontStyle14"/>
        </w:rPr>
        <w:t>введена</w:t>
      </w:r>
      <w:proofErr w:type="gramEnd"/>
      <w:r>
        <w:rPr>
          <w:rStyle w:val="FontStyle14"/>
        </w:rPr>
        <w:t xml:space="preserve"> ПСН.</w:t>
      </w:r>
    </w:p>
    <w:p w:rsidR="002B10AD" w:rsidRDefault="002B10AD" w:rsidP="002B10AD">
      <w:pPr>
        <w:pStyle w:val="Style6"/>
        <w:widowControl/>
        <w:rPr>
          <w:rStyle w:val="FontStyle14"/>
        </w:rPr>
      </w:pPr>
      <w:proofErr w:type="gramStart"/>
      <w:r>
        <w:rPr>
          <w:rStyle w:val="FontStyle14"/>
        </w:rPr>
        <w:t>В приложениях к патенту на право применения ПСН, утвержденному приказом ФНС России от 04.12.2020 № КЧ-7-3/881@ «Об утверждении формы патента на право применения патентной системы налогообложения и о признании утратившим силу приказа Федеральной налоговой службы от 26.11.2014 № ММВ-7-3/599@», налогоплательщиком указывается адрес места нахождения объекта, используемого для осуществления предпринимательской деятельности, и наименование физического показателя.</w:t>
      </w:r>
      <w:proofErr w:type="gramEnd"/>
      <w:r>
        <w:rPr>
          <w:rStyle w:val="FontStyle14"/>
        </w:rPr>
        <w:t xml:space="preserve"> </w:t>
      </w:r>
      <w:bookmarkStart w:id="0" w:name="_GoBack"/>
      <w:bookmarkEnd w:id="0"/>
      <w:r>
        <w:rPr>
          <w:rStyle w:val="FontStyle14"/>
        </w:rPr>
        <w:t>Таким образом, патент на применение ПСН действует только в отношении указанных в патенте объектов, используемых для осуществления предпринимательской деятельности.</w:t>
      </w:r>
    </w:p>
    <w:p w:rsidR="002B10AD" w:rsidRDefault="002B10AD" w:rsidP="002B10AD">
      <w:pPr>
        <w:pStyle w:val="Style6"/>
        <w:widowControl/>
        <w:rPr>
          <w:rStyle w:val="FontStyle14"/>
        </w:rPr>
      </w:pPr>
      <w:r>
        <w:rPr>
          <w:rStyle w:val="FontStyle14"/>
        </w:rPr>
        <w:lastRenderedPageBreak/>
        <w:t>Вместе с тем в случае уменьшения количества используемых в предпринимательской деятельности объектов (физических показателей) полагаем возможным уточнить обязательства налогоплательщика по налогу, уплачиваемому в связи с применением ПСН.</w:t>
      </w:r>
    </w:p>
    <w:p w:rsidR="002B10AD" w:rsidRDefault="002B10AD" w:rsidP="002B10AD">
      <w:pPr>
        <w:pStyle w:val="Style6"/>
        <w:widowControl/>
        <w:rPr>
          <w:rStyle w:val="FontStyle14"/>
        </w:rPr>
      </w:pPr>
      <w:r>
        <w:rPr>
          <w:rStyle w:val="FontStyle14"/>
        </w:rPr>
        <w:t>В этой связи индивидуальный предприниматель вправе получить новый патент взамен ранее действовавшего, подав заявление на получение патента не позднее, чем за 10 дней до даты начала осуществления предпринимательской деятельности с изменением адреса и (или) физических показателей, применяемых при осуществлении предпринимательской деятельности.</w:t>
      </w:r>
    </w:p>
    <w:p w:rsidR="002B10AD" w:rsidRDefault="002B10AD" w:rsidP="002B10AD">
      <w:pPr>
        <w:pStyle w:val="Style6"/>
        <w:widowControl/>
        <w:spacing w:after="595"/>
        <w:rPr>
          <w:rStyle w:val="FontStyle14"/>
        </w:rPr>
      </w:pPr>
      <w:r>
        <w:rPr>
          <w:rStyle w:val="FontStyle14"/>
        </w:rPr>
        <w:t xml:space="preserve">При этом индивидуальный предприниматель вправе обратиться в налоговый орган с заявлением, составленным в произвольной форме, о перерасчете суммы налога, уплаченного по ранее действовавшему патенту, исходя из срока действия данного патента </w:t>
      </w:r>
      <w:proofErr w:type="gramStart"/>
      <w:r>
        <w:rPr>
          <w:rStyle w:val="FontStyle14"/>
        </w:rPr>
        <w:t>с даты начала</w:t>
      </w:r>
      <w:proofErr w:type="gramEnd"/>
      <w:r>
        <w:rPr>
          <w:rStyle w:val="FontStyle14"/>
        </w:rPr>
        <w:t xml:space="preserve"> его действия до даты прекращения действия, указанной в заявлении.</w:t>
      </w:r>
    </w:p>
    <w:p w:rsidR="002B10AD" w:rsidRDefault="002B10AD" w:rsidP="002B10AD">
      <w:pPr>
        <w:pStyle w:val="Style6"/>
        <w:widowControl/>
        <w:rPr>
          <w:rStyle w:val="FontStyle14"/>
        </w:rPr>
      </w:pPr>
    </w:p>
    <w:p w:rsidR="002B10AD" w:rsidRDefault="002B10AD"/>
    <w:p w:rsidR="002B10AD" w:rsidRDefault="002B10AD"/>
    <w:sectPr w:rsidR="002B10AD" w:rsidSect="002B10A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0AD"/>
    <w:rsid w:val="002B10AD"/>
    <w:rsid w:val="00BC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/>
        <w:bCs/>
        <w:sz w:val="24"/>
        <w:szCs w:val="24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2B10AD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eastAsiaTheme="minorEastAsia"/>
      <w:b w:val="0"/>
      <w:bCs w:val="0"/>
      <w:u w:val="none"/>
    </w:rPr>
  </w:style>
  <w:style w:type="character" w:customStyle="1" w:styleId="FontStyle14">
    <w:name w:val="Font Style14"/>
    <w:basedOn w:val="a0"/>
    <w:uiPriority w:val="99"/>
    <w:rsid w:val="002B10AD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2B10AD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eastAsiaTheme="minorEastAsia"/>
      <w:b w:val="0"/>
      <w:bCs w:val="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/>
        <w:bCs/>
        <w:sz w:val="24"/>
        <w:szCs w:val="24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2B10AD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eastAsiaTheme="minorEastAsia"/>
      <w:b w:val="0"/>
      <w:bCs w:val="0"/>
      <w:u w:val="none"/>
    </w:rPr>
  </w:style>
  <w:style w:type="character" w:customStyle="1" w:styleId="FontStyle14">
    <w:name w:val="Font Style14"/>
    <w:basedOn w:val="a0"/>
    <w:uiPriority w:val="99"/>
    <w:rsid w:val="002B10AD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2B10AD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eastAsiaTheme="minorEastAsia"/>
      <w:b w:val="0"/>
      <w:bCs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Дугарнимаева Цындыма Баясхалановна</dc:creator>
  <cp:lastModifiedBy>Дугарнимаева Цындыма Баясхалановна</cp:lastModifiedBy>
  <cp:revision>1</cp:revision>
  <dcterms:created xsi:type="dcterms:W3CDTF">2021-08-02T02:29:00Z</dcterms:created>
  <dcterms:modified xsi:type="dcterms:W3CDTF">2021-08-02T02:32:00Z</dcterms:modified>
</cp:coreProperties>
</file>